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D3554">
        <w:rPr>
          <w:b/>
          <w:color w:val="000000"/>
          <w:sz w:val="28"/>
          <w:szCs w:val="28"/>
          <w:lang w:val="en-US"/>
        </w:rPr>
        <w:t xml:space="preserve">April </w:t>
      </w:r>
      <w:r w:rsidR="00A41CD4">
        <w:rPr>
          <w:b/>
          <w:color w:val="000000"/>
          <w:sz w:val="28"/>
          <w:szCs w:val="28"/>
          <w:lang w:val="uk-UA"/>
        </w:rPr>
        <w:t>16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0" w:type="auto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66"/>
        <w:gridCol w:w="1466"/>
        <w:gridCol w:w="1466"/>
        <w:gridCol w:w="1467"/>
        <w:gridCol w:w="1466"/>
        <w:gridCol w:w="1466"/>
        <w:gridCol w:w="1466"/>
        <w:gridCol w:w="1467"/>
      </w:tblGrid>
      <w:tr w:rsidR="00347B32" w:rsidRPr="0023732D" w:rsidTr="0023732D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41CD4" w:rsidRPr="0023732D" w:rsidRDefault="00A41CD4">
            <w:pPr>
              <w:jc w:val="center"/>
              <w:rPr>
                <w:color w:val="000000"/>
                <w:sz w:val="16"/>
                <w:lang w:val="uk-UA" w:eastAsia="uk-UA"/>
              </w:rPr>
            </w:pPr>
            <w:bookmarkStart w:id="1" w:name="RANGE!A2:I34"/>
            <w:proofErr w:type="spellStart"/>
            <w:r w:rsidRPr="0023732D">
              <w:rPr>
                <w:color w:val="000000"/>
                <w:sz w:val="16"/>
              </w:rPr>
              <w:t>Issue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Number</w:t>
            </w:r>
            <w:bookmarkEnd w:id="1"/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121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123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124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125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126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127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128</w:t>
            </w:r>
          </w:p>
        </w:tc>
      </w:tr>
      <w:tr w:rsidR="00347B32" w:rsidRPr="0023732D" w:rsidTr="0023732D">
        <w:trPr>
          <w:trHeight w:val="1020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41CD4" w:rsidRPr="0023732D" w:rsidRDefault="00A41CD4">
            <w:pPr>
              <w:jc w:val="center"/>
              <w:rPr>
                <w:color w:val="000000"/>
                <w:sz w:val="16"/>
              </w:rPr>
            </w:pPr>
            <w:r w:rsidRPr="0023732D">
              <w:rPr>
                <w:color w:val="000000"/>
                <w:sz w:val="16"/>
              </w:rPr>
              <w:t>ISIN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Primary</w:t>
            </w:r>
            <w:proofErr w:type="spellEnd"/>
            <w:r w:rsidRPr="0023732D">
              <w:rPr>
                <w:sz w:val="16"/>
              </w:rPr>
              <w:t xml:space="preserve"> </w:t>
            </w:r>
            <w:proofErr w:type="spellStart"/>
            <w:r w:rsidRPr="0023732D">
              <w:rPr>
                <w:sz w:val="16"/>
              </w:rPr>
              <w:t>placement</w:t>
            </w:r>
            <w:proofErr w:type="spellEnd"/>
          </w:p>
          <w:p w:rsidR="00A41CD4" w:rsidRPr="0023732D" w:rsidRDefault="00347B32" w:rsidP="0023732D">
            <w:pPr>
              <w:jc w:val="center"/>
              <w:rPr>
                <w:sz w:val="16"/>
                <w:lang w:val="uk-UA"/>
              </w:rPr>
            </w:pPr>
            <w:r w:rsidRPr="0023732D">
              <w:rPr>
                <w:sz w:val="16"/>
              </w:rPr>
              <w:t>UA4000203</w:t>
            </w:r>
            <w:r w:rsidRPr="0023732D">
              <w:rPr>
                <w:sz w:val="16"/>
                <w:lang w:val="uk-UA"/>
              </w:rPr>
              <w:t>830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Reopening</w:t>
            </w:r>
            <w:proofErr w:type="spellEnd"/>
          </w:p>
          <w:p w:rsidR="00A41CD4" w:rsidRPr="0023732D" w:rsidRDefault="00A41CD4" w:rsidP="0023732D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UA4000203624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Reopening</w:t>
            </w:r>
            <w:proofErr w:type="spellEnd"/>
          </w:p>
          <w:p w:rsidR="00A41CD4" w:rsidRPr="0023732D" w:rsidRDefault="00A41CD4" w:rsidP="0023732D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UA4000203749 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Reopening</w:t>
            </w:r>
            <w:proofErr w:type="spellEnd"/>
          </w:p>
          <w:p w:rsidR="00A41CD4" w:rsidRPr="0023732D" w:rsidRDefault="00A41CD4" w:rsidP="0023732D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UA4000203723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Reopening</w:t>
            </w:r>
            <w:proofErr w:type="spellEnd"/>
          </w:p>
          <w:p w:rsidR="00A41CD4" w:rsidRPr="0023732D" w:rsidRDefault="00A41CD4" w:rsidP="0023732D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UA4000203236 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Reopening</w:t>
            </w:r>
            <w:proofErr w:type="spellEnd"/>
          </w:p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UA4000203566</w:t>
            </w:r>
          </w:p>
          <w:p w:rsidR="00A41CD4" w:rsidRPr="0023732D" w:rsidRDefault="00A41CD4" w:rsidP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(</w:t>
            </w:r>
            <w:proofErr w:type="spellStart"/>
            <w:r w:rsidRPr="0023732D">
              <w:rPr>
                <w:sz w:val="16"/>
              </w:rPr>
              <w:t>denominated</w:t>
            </w:r>
            <w:proofErr w:type="spellEnd"/>
            <w:r w:rsidRPr="0023732D">
              <w:rPr>
                <w:sz w:val="16"/>
              </w:rPr>
              <w:t> </w:t>
            </w:r>
            <w:proofErr w:type="spellStart"/>
            <w:r w:rsidRPr="0023732D">
              <w:rPr>
                <w:sz w:val="16"/>
              </w:rPr>
              <w:t>in</w:t>
            </w:r>
            <w:proofErr w:type="spellEnd"/>
            <w:r w:rsidRPr="0023732D">
              <w:rPr>
                <w:sz w:val="16"/>
              </w:rPr>
              <w:t xml:space="preserve"> foreign </w:t>
            </w:r>
            <w:proofErr w:type="spellStart"/>
            <w:r w:rsidRPr="0023732D">
              <w:rPr>
                <w:sz w:val="16"/>
              </w:rPr>
              <w:t>currency</w:t>
            </w:r>
            <w:proofErr w:type="spellEnd"/>
            <w:r w:rsidRPr="0023732D">
              <w:rPr>
                <w:sz w:val="16"/>
              </w:rPr>
              <w:t xml:space="preserve"> USD)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Reopening</w:t>
            </w:r>
            <w:proofErr w:type="spellEnd"/>
          </w:p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UA4000203392</w:t>
            </w:r>
          </w:p>
          <w:p w:rsidR="00A41CD4" w:rsidRPr="0023732D" w:rsidRDefault="00A41CD4" w:rsidP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(</w:t>
            </w:r>
            <w:proofErr w:type="spellStart"/>
            <w:r w:rsidRPr="0023732D">
              <w:rPr>
                <w:sz w:val="16"/>
              </w:rPr>
              <w:t>denominated</w:t>
            </w:r>
            <w:proofErr w:type="spellEnd"/>
            <w:r w:rsidRPr="0023732D">
              <w:rPr>
                <w:sz w:val="16"/>
              </w:rPr>
              <w:t> </w:t>
            </w:r>
            <w:proofErr w:type="spellStart"/>
            <w:r w:rsidRPr="0023732D">
              <w:rPr>
                <w:sz w:val="16"/>
              </w:rPr>
              <w:t>in</w:t>
            </w:r>
            <w:proofErr w:type="spellEnd"/>
            <w:r w:rsidRPr="0023732D">
              <w:rPr>
                <w:sz w:val="16"/>
              </w:rPr>
              <w:t xml:space="preserve"> foreign </w:t>
            </w:r>
            <w:proofErr w:type="spellStart"/>
            <w:r w:rsidRPr="0023732D">
              <w:rPr>
                <w:sz w:val="16"/>
              </w:rPr>
              <w:t>currency</w:t>
            </w:r>
            <w:proofErr w:type="spellEnd"/>
            <w:r w:rsidRPr="0023732D">
              <w:rPr>
                <w:sz w:val="16"/>
              </w:rPr>
              <w:t xml:space="preserve"> USD)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proofErr w:type="spellStart"/>
            <w:r w:rsidRPr="0023732D">
              <w:rPr>
                <w:sz w:val="16"/>
              </w:rPr>
              <w:t>Primary</w:t>
            </w:r>
            <w:proofErr w:type="spellEnd"/>
            <w:r w:rsidRPr="0023732D">
              <w:rPr>
                <w:sz w:val="16"/>
              </w:rPr>
              <w:t xml:space="preserve"> </w:t>
            </w:r>
            <w:proofErr w:type="spellStart"/>
            <w:r w:rsidRPr="0023732D">
              <w:rPr>
                <w:sz w:val="16"/>
              </w:rPr>
              <w:t>placement</w:t>
            </w:r>
            <w:proofErr w:type="spellEnd"/>
          </w:p>
          <w:p w:rsidR="00347B32" w:rsidRPr="0023732D" w:rsidRDefault="00347B32" w:rsidP="00347B32">
            <w:pPr>
              <w:jc w:val="center"/>
              <w:rPr>
                <w:sz w:val="16"/>
                <w:lang w:val="uk-UA"/>
              </w:rPr>
            </w:pPr>
            <w:r w:rsidRPr="0023732D">
              <w:rPr>
                <w:sz w:val="16"/>
              </w:rPr>
              <w:t>UA4000203</w:t>
            </w:r>
            <w:r w:rsidRPr="0023732D">
              <w:rPr>
                <w:sz w:val="16"/>
                <w:lang w:val="uk-UA"/>
              </w:rPr>
              <w:t>848</w:t>
            </w:r>
          </w:p>
          <w:p w:rsidR="00A41CD4" w:rsidRPr="0023732D" w:rsidRDefault="00347B32" w:rsidP="008B353F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 xml:space="preserve"> (</w:t>
            </w:r>
            <w:proofErr w:type="spellStart"/>
            <w:r w:rsidRPr="0023732D">
              <w:rPr>
                <w:sz w:val="16"/>
              </w:rPr>
              <w:t>denominated</w:t>
            </w:r>
            <w:proofErr w:type="spellEnd"/>
            <w:r w:rsidRPr="0023732D">
              <w:rPr>
                <w:sz w:val="16"/>
              </w:rPr>
              <w:t> </w:t>
            </w:r>
            <w:proofErr w:type="spellStart"/>
            <w:r w:rsidRPr="0023732D">
              <w:rPr>
                <w:sz w:val="16"/>
              </w:rPr>
              <w:t>in</w:t>
            </w:r>
            <w:proofErr w:type="spellEnd"/>
            <w:r w:rsidRPr="0023732D">
              <w:rPr>
                <w:sz w:val="16"/>
              </w:rPr>
              <w:t xml:space="preserve"> foreign </w:t>
            </w:r>
            <w:proofErr w:type="spellStart"/>
            <w:r w:rsidRPr="0023732D">
              <w:rPr>
                <w:sz w:val="16"/>
              </w:rPr>
              <w:t>currency</w:t>
            </w:r>
            <w:proofErr w:type="spellEnd"/>
            <w:r w:rsidRPr="0023732D">
              <w:rPr>
                <w:sz w:val="16"/>
              </w:rPr>
              <w:t xml:space="preserve"> USD, </w:t>
            </w:r>
            <w:r w:rsidR="008B353F">
              <w:rPr>
                <w:sz w:val="16"/>
                <w:lang w:val="en-US"/>
              </w:rPr>
              <w:t>puttable</w:t>
            </w:r>
            <w:r w:rsidRPr="0023732D">
              <w:rPr>
                <w:sz w:val="16"/>
              </w:rPr>
              <w:t>)</w:t>
            </w:r>
          </w:p>
        </w:tc>
      </w:tr>
      <w:tr w:rsidR="00347B32" w:rsidRPr="0023732D" w:rsidTr="00A93C95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41CD4" w:rsidRPr="0023732D" w:rsidRDefault="00A41CD4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Nominal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value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41CD4" w:rsidRPr="0023732D" w:rsidRDefault="00A41CD4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1 000</w:t>
            </w:r>
          </w:p>
        </w:tc>
      </w:tr>
      <w:tr w:rsidR="00A93C95" w:rsidRPr="0023732D" w:rsidTr="00A93C95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Auction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date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16.04.2019</w:t>
            </w:r>
          </w:p>
        </w:tc>
      </w:tr>
      <w:tr w:rsidR="00A93C95" w:rsidRPr="0023732D" w:rsidTr="00A93C95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Settlement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date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17.04.2019</w:t>
            </w:r>
          </w:p>
        </w:tc>
      </w:tr>
      <w:tr w:rsidR="00A93C95" w:rsidRPr="0023732D" w:rsidTr="0023732D">
        <w:trPr>
          <w:trHeight w:val="1191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Interest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payment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dates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</w:tcPr>
          <w:p w:rsidR="00A93C95" w:rsidRPr="0023732D" w:rsidRDefault="00A93C95" w:rsidP="00A93C95">
            <w:pPr>
              <w:jc w:val="center"/>
              <w:rPr>
                <w:sz w:val="16"/>
                <w:lang w:val="uk-UA"/>
              </w:rPr>
            </w:pPr>
            <w:r w:rsidRPr="0023732D">
              <w:rPr>
                <w:sz w:val="16"/>
                <w:lang w:val="uk-UA"/>
              </w:rPr>
              <w:t>–</w:t>
            </w:r>
          </w:p>
        </w:tc>
        <w:tc>
          <w:tcPr>
            <w:tcW w:w="1466" w:type="dxa"/>
            <w:shd w:val="clear" w:color="000000" w:fill="FFFFFF"/>
            <w:noWrap/>
            <w:vAlign w:val="center"/>
          </w:tcPr>
          <w:p w:rsidR="00A93C95" w:rsidRPr="0023732D" w:rsidRDefault="00A93C95" w:rsidP="00A93C95">
            <w:pPr>
              <w:jc w:val="center"/>
              <w:rPr>
                <w:sz w:val="16"/>
                <w:lang w:val="uk-UA"/>
              </w:rPr>
            </w:pPr>
            <w:r w:rsidRPr="0023732D">
              <w:rPr>
                <w:sz w:val="16"/>
                <w:lang w:val="uk-UA"/>
              </w:rPr>
              <w:t>–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  <w:lang w:val="uk-UA"/>
              </w:rPr>
              <w:t>–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25.09.2019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25.03.2020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23.09.2020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24.03.2021 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10.07.2019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08.01.2020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08.07.2020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06.01.2021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07.07.2021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05.01.2022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  <w:lang w:val="uk-UA"/>
              </w:rPr>
              <w:t>–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15.08.2019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13.02.2020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13.08.2020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11.02.2021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15.08.2019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13.02.2020</w:t>
            </w:r>
          </w:p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13.08.2020</w:t>
            </w:r>
          </w:p>
        </w:tc>
      </w:tr>
      <w:tr w:rsidR="00A93C95" w:rsidRPr="0023732D" w:rsidTr="00AC4FD2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Coupon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amount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per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instrument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AC4FD2" w:rsidRDefault="00A93C95" w:rsidP="00A93C95">
            <w:pPr>
              <w:jc w:val="center"/>
              <w:rPr>
                <w:sz w:val="16"/>
                <w:lang w:val="uk-UA"/>
              </w:rPr>
            </w:pPr>
            <w:r w:rsidRPr="00151FEF">
              <w:rPr>
                <w:sz w:val="16"/>
                <w:lang w:val="uk-UA"/>
              </w:rPr>
              <w:t>–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AC4FD2" w:rsidRDefault="00A93C95" w:rsidP="00A93C95">
            <w:pPr>
              <w:jc w:val="center"/>
              <w:rPr>
                <w:sz w:val="16"/>
                <w:lang w:val="uk-UA"/>
              </w:rPr>
            </w:pPr>
            <w:r w:rsidRPr="00151FEF">
              <w:rPr>
                <w:sz w:val="16"/>
                <w:lang w:val="uk-UA"/>
              </w:rPr>
              <w:t>–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AC4FD2" w:rsidRDefault="00A93C95" w:rsidP="00A93C95">
            <w:pPr>
              <w:jc w:val="center"/>
              <w:rPr>
                <w:sz w:val="16"/>
                <w:lang w:val="uk-UA"/>
              </w:rPr>
            </w:pPr>
            <w:r w:rsidRPr="00151FEF">
              <w:rPr>
                <w:sz w:val="16"/>
                <w:lang w:val="uk-UA"/>
              </w:rPr>
              <w:t>–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90,00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86,25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  <w:lang w:val="uk-UA"/>
              </w:rPr>
              <w:t>–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37,50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19,25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Nominal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yield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19,50%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3,85%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Tenor</w:t>
            </w:r>
            <w:proofErr w:type="spellEnd"/>
            <w:r w:rsidRPr="0023732D">
              <w:rPr>
                <w:color w:val="000000"/>
                <w:sz w:val="16"/>
              </w:rPr>
              <w:t xml:space="preserve"> (</w:t>
            </w:r>
            <w:proofErr w:type="spellStart"/>
            <w:r w:rsidRPr="0023732D">
              <w:rPr>
                <w:color w:val="000000"/>
                <w:sz w:val="16"/>
              </w:rPr>
              <w:t>days</w:t>
            </w:r>
            <w:proofErr w:type="spellEnd"/>
            <w:r w:rsidRPr="0023732D">
              <w:rPr>
                <w:color w:val="000000"/>
                <w:sz w:val="16"/>
              </w:rPr>
              <w:t>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126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175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350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707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994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239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666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484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Maturity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date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21.08.2019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09.10.2019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01.04.2020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24.03.2021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05.01.2022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12.12.2019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11.02.2021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13.08.2020</w:t>
            </w:r>
          </w:p>
        </w:tc>
      </w:tr>
      <w:tr w:rsidR="00A93C95" w:rsidRPr="0023732D" w:rsidTr="0023732D">
        <w:trPr>
          <w:trHeight w:val="39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Volume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of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bids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placed</w:t>
            </w:r>
            <w:proofErr w:type="spellEnd"/>
            <w:r w:rsidRPr="0023732D">
              <w:rPr>
                <w:color w:val="000000"/>
                <w:sz w:val="16"/>
              </w:rPr>
              <w:br/>
              <w:t>(</w:t>
            </w:r>
            <w:proofErr w:type="spellStart"/>
            <w:r w:rsidRPr="0023732D">
              <w:rPr>
                <w:color w:val="000000"/>
                <w:sz w:val="16"/>
              </w:rPr>
              <w:t>nominal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value</w:t>
            </w:r>
            <w:proofErr w:type="spellEnd"/>
            <w:r w:rsidRPr="0023732D">
              <w:rPr>
                <w:color w:val="000000"/>
                <w:sz w:val="16"/>
              </w:rPr>
              <w:t>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4 388 999 000,00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136 387 000,00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679 187 000,00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2 979 646 000,00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310 167 000,00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117 150 000,00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13 491 000,00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73 000 000,00</w:t>
            </w:r>
          </w:p>
        </w:tc>
      </w:tr>
      <w:tr w:rsidR="00A93C95" w:rsidRPr="0023732D" w:rsidTr="0023732D">
        <w:trPr>
          <w:trHeight w:val="39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Volume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of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bids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accepted</w:t>
            </w:r>
            <w:proofErr w:type="spellEnd"/>
            <w:r w:rsidRPr="0023732D">
              <w:rPr>
                <w:color w:val="000000"/>
                <w:sz w:val="16"/>
              </w:rPr>
              <w:br/>
              <w:t>(</w:t>
            </w:r>
            <w:proofErr w:type="spellStart"/>
            <w:r w:rsidRPr="0023732D">
              <w:rPr>
                <w:color w:val="000000"/>
                <w:sz w:val="16"/>
              </w:rPr>
              <w:t>nominal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value</w:t>
            </w:r>
            <w:proofErr w:type="spellEnd"/>
            <w:r w:rsidRPr="0023732D">
              <w:rPr>
                <w:color w:val="000000"/>
                <w:sz w:val="16"/>
              </w:rPr>
              <w:t>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4 388 999 000,00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136 387 000,00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679 187 000,00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2 979 646 000,00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310 167 000,00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117 150 000,00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13 491 000,00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73 000 000,00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General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issue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volume</w:t>
            </w:r>
            <w:proofErr w:type="spellEnd"/>
            <w:r w:rsidRPr="0023732D">
              <w:rPr>
                <w:color w:val="000000"/>
                <w:sz w:val="16"/>
              </w:rPr>
              <w:t xml:space="preserve"> (</w:t>
            </w:r>
            <w:proofErr w:type="spellStart"/>
            <w:r w:rsidRPr="0023732D">
              <w:rPr>
                <w:color w:val="000000"/>
                <w:sz w:val="16"/>
              </w:rPr>
              <w:t>nominal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value</w:t>
            </w:r>
            <w:proofErr w:type="spellEnd"/>
            <w:r w:rsidRPr="0023732D">
              <w:rPr>
                <w:color w:val="000000"/>
                <w:sz w:val="16"/>
              </w:rPr>
              <w:t>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4 388 999 000,00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3 104 470 000,00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4 307 305 000,00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6 983 493 000,00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465 763 000,00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154 178 000,00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81 845 000,00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73 000 000,00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Number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of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bids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placed</w:t>
            </w:r>
            <w:proofErr w:type="spellEnd"/>
            <w:r w:rsidRPr="0023732D">
              <w:rPr>
                <w:color w:val="000000"/>
                <w:sz w:val="16"/>
              </w:rPr>
              <w:t xml:space="preserve"> (</w:t>
            </w:r>
            <w:proofErr w:type="spellStart"/>
            <w:r w:rsidRPr="0023732D">
              <w:rPr>
                <w:color w:val="000000"/>
                <w:sz w:val="16"/>
              </w:rPr>
              <w:t>units</w:t>
            </w:r>
            <w:proofErr w:type="spellEnd"/>
            <w:r w:rsidRPr="0023732D">
              <w:rPr>
                <w:color w:val="000000"/>
                <w:sz w:val="16"/>
              </w:rPr>
              <w:t>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23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Number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of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bids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accepted</w:t>
            </w:r>
            <w:proofErr w:type="spellEnd"/>
            <w:r w:rsidRPr="0023732D">
              <w:rPr>
                <w:color w:val="000000"/>
                <w:sz w:val="16"/>
              </w:rPr>
              <w:t xml:space="preserve"> (</w:t>
            </w:r>
            <w:proofErr w:type="spellStart"/>
            <w:r w:rsidRPr="0023732D">
              <w:rPr>
                <w:color w:val="000000"/>
                <w:sz w:val="16"/>
              </w:rPr>
              <w:t>units</w:t>
            </w:r>
            <w:proofErr w:type="spellEnd"/>
            <w:r w:rsidRPr="0023732D">
              <w:rPr>
                <w:color w:val="000000"/>
                <w:sz w:val="16"/>
              </w:rPr>
              <w:t>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23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</w:t>
            </w:r>
          </w:p>
        </w:tc>
      </w:tr>
      <w:tr w:rsidR="00A93C95" w:rsidRPr="0023732D" w:rsidTr="002A4192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Maximum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yield</w:t>
            </w:r>
            <w:proofErr w:type="spellEnd"/>
            <w:r w:rsidRPr="0023732D">
              <w:rPr>
                <w:color w:val="000000"/>
                <w:sz w:val="16"/>
              </w:rPr>
              <w:t xml:space="preserve">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19,50%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7,75%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A93C95" w:rsidRPr="002A4192" w:rsidRDefault="002A4192" w:rsidP="00A93C95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–</w:t>
            </w:r>
          </w:p>
        </w:tc>
      </w:tr>
      <w:tr w:rsidR="00A93C95" w:rsidRPr="0023732D" w:rsidTr="002A4192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Minimum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yield</w:t>
            </w:r>
            <w:proofErr w:type="spellEnd"/>
            <w:r w:rsidRPr="0023732D">
              <w:rPr>
                <w:color w:val="000000"/>
                <w:sz w:val="16"/>
              </w:rPr>
              <w:t xml:space="preserve">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19,50%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</w:tcPr>
          <w:p w:rsidR="00A93C95" w:rsidRPr="002A4192" w:rsidRDefault="002A4192" w:rsidP="00A93C95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–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Accepted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yield</w:t>
            </w:r>
            <w:proofErr w:type="spellEnd"/>
            <w:r w:rsidRPr="0023732D">
              <w:rPr>
                <w:color w:val="000000"/>
                <w:sz w:val="16"/>
              </w:rPr>
              <w:t xml:space="preserve">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19,50%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7,75%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3,85%</w:t>
            </w:r>
          </w:p>
        </w:tc>
      </w:tr>
      <w:tr w:rsidR="00A93C95" w:rsidRPr="0023732D" w:rsidTr="0023732D">
        <w:trPr>
          <w:trHeight w:val="227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Weight-Average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Yield</w:t>
            </w:r>
            <w:proofErr w:type="spellEnd"/>
            <w:r w:rsidRPr="0023732D">
              <w:rPr>
                <w:color w:val="000000"/>
                <w:sz w:val="16"/>
              </w:rPr>
              <w:t xml:space="preserve"> (%)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19,50%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19,00%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18,50%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18,00%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7,25%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7,74%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A4192" w:rsidRDefault="002A4192" w:rsidP="00A93C95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–</w:t>
            </w:r>
          </w:p>
        </w:tc>
      </w:tr>
      <w:tr w:rsidR="00A93C95" w:rsidRPr="0023732D" w:rsidTr="0023732D">
        <w:trPr>
          <w:trHeight w:val="630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color w:val="000000"/>
                <w:sz w:val="16"/>
              </w:rPr>
            </w:pPr>
            <w:proofErr w:type="spellStart"/>
            <w:r w:rsidRPr="0023732D">
              <w:rPr>
                <w:color w:val="000000"/>
                <w:sz w:val="16"/>
              </w:rPr>
              <w:t>Funds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raised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to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the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State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Budget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from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the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sale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of</w:t>
            </w:r>
            <w:proofErr w:type="spellEnd"/>
            <w:r w:rsidRPr="0023732D">
              <w:rPr>
                <w:color w:val="000000"/>
                <w:sz w:val="16"/>
              </w:rPr>
              <w:t xml:space="preserve"> </w:t>
            </w:r>
            <w:proofErr w:type="spellStart"/>
            <w:r w:rsidRPr="0023732D">
              <w:rPr>
                <w:color w:val="000000"/>
                <w:sz w:val="16"/>
              </w:rPr>
              <w:t>instruments</w:t>
            </w:r>
            <w:proofErr w:type="spellEnd"/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4 112 184 833,07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125 000 049,37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577 091 610,16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3 009 412 663,54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324 295 106,85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111 861 849,00</w:t>
            </w:r>
          </w:p>
        </w:tc>
        <w:tc>
          <w:tcPr>
            <w:tcW w:w="1466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13 610 459,16</w:t>
            </w:r>
          </w:p>
        </w:tc>
        <w:tc>
          <w:tcPr>
            <w:tcW w:w="1467" w:type="dxa"/>
            <w:shd w:val="clear" w:color="000000" w:fill="FFFFFF"/>
            <w:noWrap/>
            <w:vAlign w:val="center"/>
            <w:hideMark/>
          </w:tcPr>
          <w:p w:rsidR="00A93C95" w:rsidRPr="0023732D" w:rsidRDefault="00A93C95" w:rsidP="00A93C95">
            <w:pPr>
              <w:jc w:val="center"/>
              <w:rPr>
                <w:sz w:val="16"/>
              </w:rPr>
            </w:pPr>
            <w:r w:rsidRPr="0023732D">
              <w:rPr>
                <w:sz w:val="16"/>
              </w:rPr>
              <w:t>73 483 260,00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5D3554">
        <w:rPr>
          <w:b/>
          <w:color w:val="000000"/>
          <w:sz w:val="28"/>
          <w:szCs w:val="28"/>
          <w:lang w:val="en-US"/>
        </w:rPr>
        <w:t xml:space="preserve">April </w:t>
      </w:r>
      <w:r w:rsidR="00A41CD4">
        <w:rPr>
          <w:b/>
          <w:color w:val="000000"/>
          <w:sz w:val="28"/>
          <w:szCs w:val="28"/>
        </w:rPr>
        <w:t>16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A41CD4" w:rsidRPr="00A41CD4">
        <w:rPr>
          <w:b/>
          <w:color w:val="000000"/>
          <w:sz w:val="28"/>
          <w:szCs w:val="28"/>
          <w:lang w:val="en-US"/>
        </w:rPr>
        <w:t>13 482 023 632</w:t>
      </w:r>
      <w:proofErr w:type="gramStart"/>
      <w:r w:rsidR="00A41CD4" w:rsidRPr="00A41CD4">
        <w:rPr>
          <w:b/>
          <w:color w:val="000000"/>
          <w:sz w:val="28"/>
          <w:szCs w:val="28"/>
          <w:lang w:val="en-US"/>
        </w:rPr>
        <w:t>,30</w:t>
      </w:r>
      <w:proofErr w:type="gramEnd"/>
      <w:r w:rsidR="005D3554" w:rsidRPr="005D3554">
        <w:rPr>
          <w:b/>
          <w:color w:val="000000"/>
          <w:sz w:val="28"/>
          <w:szCs w:val="28"/>
          <w:lang w:val="en-US"/>
        </w:rPr>
        <w:t xml:space="preserve"> 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38B1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30EF"/>
    <w:rsid w:val="009046ED"/>
    <w:rsid w:val="00910CD9"/>
    <w:rsid w:val="00913224"/>
    <w:rsid w:val="00913878"/>
    <w:rsid w:val="00913C94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6A54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76E2"/>
    <w:rsid w:val="00AC7967"/>
    <w:rsid w:val="00AD0F74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AB876B1-7141-40C2-9EFE-0FC38620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2019-04-16T14:18:00Z</cp:lastPrinted>
  <dcterms:created xsi:type="dcterms:W3CDTF">2019-04-16T14:39:00Z</dcterms:created>
  <dcterms:modified xsi:type="dcterms:W3CDTF">2019-04-16T14:39:00Z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